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11F" w:rsidRDefault="0066311F"/>
    <w:p w:rsidR="0066311F" w:rsidRPr="009950D9" w:rsidRDefault="0066311F" w:rsidP="0066311F">
      <w:pPr>
        <w:jc w:val="center"/>
        <w:rPr>
          <w:b/>
          <w:sz w:val="28"/>
          <w:szCs w:val="28"/>
        </w:rPr>
      </w:pPr>
      <w:r w:rsidRPr="009950D9">
        <w:rPr>
          <w:b/>
          <w:sz w:val="28"/>
          <w:szCs w:val="28"/>
        </w:rPr>
        <w:t xml:space="preserve">PROPOSICIÒN </w:t>
      </w:r>
    </w:p>
    <w:p w:rsidR="0066311F" w:rsidRDefault="0066311F" w:rsidP="0066311F">
      <w:pPr>
        <w:jc w:val="center"/>
        <w:rPr>
          <w:b/>
        </w:rPr>
      </w:pPr>
    </w:p>
    <w:p w:rsidR="0066311F" w:rsidRPr="009950D9" w:rsidRDefault="0066311F" w:rsidP="0066311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</w:rPr>
      </w:pPr>
      <w:r w:rsidRPr="009950D9">
        <w:rPr>
          <w:rFonts w:ascii="Arial" w:hAnsi="Arial" w:cs="Arial"/>
          <w:b/>
        </w:rPr>
        <w:t xml:space="preserve">ELIMINISE </w:t>
      </w:r>
      <w:r>
        <w:rPr>
          <w:rFonts w:ascii="Arial" w:hAnsi="Arial" w:cs="Arial"/>
        </w:rPr>
        <w:t>e</w:t>
      </w:r>
      <w:r w:rsidRPr="009950D9">
        <w:rPr>
          <w:rFonts w:ascii="Arial" w:hAnsi="Arial" w:cs="Arial"/>
        </w:rPr>
        <w:t xml:space="preserve">l artículo </w:t>
      </w:r>
      <w:r>
        <w:rPr>
          <w:rFonts w:ascii="Arial" w:hAnsi="Arial" w:cs="Arial"/>
        </w:rPr>
        <w:t>338</w:t>
      </w:r>
      <w:r w:rsidRPr="009950D9">
        <w:rPr>
          <w:rFonts w:ascii="Arial" w:hAnsi="Arial" w:cs="Arial"/>
        </w:rPr>
        <w:t xml:space="preserve">, al </w:t>
      </w:r>
      <w:r w:rsidRPr="009950D9">
        <w:rPr>
          <w:rFonts w:ascii="Arial" w:hAnsi="Arial" w:cs="Arial"/>
          <w:b/>
        </w:rPr>
        <w:t xml:space="preserve">proyecto de ley número 283 DE 2019 CÁMARA </w:t>
      </w:r>
      <w:r w:rsidRPr="009950D9">
        <w:rPr>
          <w:rFonts w:ascii="Arial" w:hAnsi="Arial" w:cs="Arial"/>
        </w:rPr>
        <w:t>“</w:t>
      </w:r>
      <w:r w:rsidRPr="009950D9">
        <w:rPr>
          <w:rFonts w:ascii="Arial" w:hAnsi="Arial" w:cs="Arial"/>
          <w:i/>
          <w:iCs/>
        </w:rPr>
        <w:t xml:space="preserve">Por medio del cual se sustituye el Título XI, “De los delitos contra los recursos naturales y el medio ambiente” de la ley 599 del 2000, </w:t>
      </w:r>
      <w:r>
        <w:rPr>
          <w:rFonts w:ascii="Arial" w:hAnsi="Arial" w:cs="Arial"/>
          <w:i/>
          <w:iCs/>
        </w:rPr>
        <w:t>de la siguiente manera:</w:t>
      </w:r>
    </w:p>
    <w:p w:rsidR="0066311F" w:rsidRDefault="0066311F" w:rsidP="0066311F"/>
    <w:p w:rsidR="0066311F" w:rsidRDefault="0066311F" w:rsidP="0066311F">
      <w:bookmarkStart w:id="0" w:name="_GoBack"/>
      <w:bookmarkEnd w:id="0"/>
    </w:p>
    <w:p w:rsidR="0066311F" w:rsidRPr="0066311F" w:rsidRDefault="0066311F" w:rsidP="0066311F">
      <w:pPr>
        <w:shd w:val="clear" w:color="auto" w:fill="FFFFFF"/>
        <w:spacing w:after="0" w:line="240" w:lineRule="auto"/>
        <w:ind w:left="708" w:hanging="708"/>
        <w:jc w:val="both"/>
        <w:rPr>
          <w:rFonts w:ascii="Bookman Old Style" w:hAnsi="Bookman Old Style" w:cs="Arial"/>
          <w:strike/>
          <w:shd w:val="clear" w:color="auto" w:fill="FFFFFF"/>
        </w:rPr>
      </w:pPr>
      <w:r w:rsidRPr="0066311F">
        <w:rPr>
          <w:rFonts w:ascii="Bookman Old Style" w:hAnsi="Bookman Old Style" w:cs="Arial"/>
          <w:b/>
          <w:bCs/>
          <w:strike/>
          <w:shd w:val="clear" w:color="auto" w:fill="FFFFFF"/>
        </w:rPr>
        <w:t>ARTÍCULO</w:t>
      </w:r>
      <w:r w:rsidRPr="0066311F">
        <w:rPr>
          <w:rFonts w:ascii="Bookman Old Style" w:hAnsi="Bookman Old Style" w:cs="Arial"/>
          <w:b/>
          <w:bCs/>
          <w:strike/>
        </w:rPr>
        <w:t> </w:t>
      </w:r>
      <w:r w:rsidRPr="0066311F">
        <w:rPr>
          <w:rFonts w:ascii="Bookman Old Style" w:hAnsi="Bookman Old Style" w:cs="Arial"/>
          <w:b/>
          <w:bCs/>
          <w:strike/>
          <w:shd w:val="clear" w:color="auto" w:fill="FFFFFF"/>
        </w:rPr>
        <w:t> 338.</w:t>
      </w:r>
      <w:r w:rsidRPr="0066311F">
        <w:rPr>
          <w:rFonts w:ascii="Bookman Old Style" w:hAnsi="Bookman Old Style" w:cs="Arial"/>
          <w:strike/>
          <w:shd w:val="clear" w:color="auto" w:fill="FFFFFF"/>
        </w:rPr>
        <w:t> </w:t>
      </w:r>
      <w:r w:rsidRPr="0066311F">
        <w:rPr>
          <w:rFonts w:ascii="Bookman Old Style" w:hAnsi="Bookman Old Style" w:cs="Arial"/>
          <w:b/>
          <w:i/>
          <w:iCs/>
          <w:strike/>
          <w:shd w:val="clear" w:color="auto" w:fill="FFFFFF"/>
        </w:rPr>
        <w:t>Impacto Ambiental (IA)</w:t>
      </w:r>
      <w:r w:rsidRPr="0066311F">
        <w:rPr>
          <w:rFonts w:ascii="Bookman Old Style" w:hAnsi="Bookman Old Style" w:cs="Arial"/>
          <w:b/>
          <w:strike/>
          <w:shd w:val="clear" w:color="auto" w:fill="FFFFFF"/>
        </w:rPr>
        <w:t>.</w:t>
      </w:r>
      <w:r w:rsidRPr="0066311F">
        <w:rPr>
          <w:rFonts w:ascii="Bookman Old Style" w:hAnsi="Bookman Old Style" w:cs="Arial"/>
          <w:strike/>
          <w:shd w:val="clear" w:color="auto" w:fill="FFFFFF"/>
        </w:rPr>
        <w:t>  Cuando las conductas del presente título tengan como resultado un Impacto Ambiental (IA), el ámbito punitivo de movilidad de la pena de prisión y de multa se dividirá en tercios, así: uno mínimo, uno medio y uno máximo.</w:t>
      </w:r>
    </w:p>
    <w:p w:rsidR="0066311F" w:rsidRPr="0066311F" w:rsidRDefault="0066311F" w:rsidP="0066311F">
      <w:pPr>
        <w:shd w:val="clear" w:color="auto" w:fill="FFFFFF"/>
        <w:spacing w:after="0" w:line="240" w:lineRule="auto"/>
        <w:ind w:left="708" w:hanging="708"/>
        <w:jc w:val="both"/>
        <w:rPr>
          <w:rFonts w:ascii="Bookman Old Style" w:hAnsi="Bookman Old Style" w:cs="Arial"/>
          <w:strike/>
          <w:shd w:val="clear" w:color="auto" w:fill="FFFFFF"/>
        </w:rPr>
      </w:pPr>
    </w:p>
    <w:p w:rsidR="0066311F" w:rsidRPr="0066311F" w:rsidRDefault="0066311F" w:rsidP="0066311F">
      <w:pPr>
        <w:shd w:val="clear" w:color="auto" w:fill="FFFFFF"/>
        <w:spacing w:after="0" w:line="240" w:lineRule="auto"/>
        <w:ind w:left="708" w:hanging="708"/>
        <w:jc w:val="both"/>
        <w:rPr>
          <w:rFonts w:ascii="Bookman Old Style" w:hAnsi="Bookman Old Style" w:cs="Arial"/>
          <w:strike/>
          <w:shd w:val="clear" w:color="auto" w:fill="FFFFFF"/>
        </w:rPr>
      </w:pPr>
      <w:r w:rsidRPr="0066311F">
        <w:rPr>
          <w:rFonts w:ascii="Bookman Old Style" w:hAnsi="Bookman Old Style" w:cs="Arial"/>
          <w:strike/>
          <w:shd w:val="clear" w:color="auto" w:fill="FFFFFF"/>
        </w:rPr>
        <w:t>La pena de prisión y de multa será la correspondiente al tercio mínimo cuando la afectación tuviere como consecuencia un impacto ambiental (IA) igual o superior a veinticinco (25) que no pase de cincuenta (50) IA.</w:t>
      </w:r>
    </w:p>
    <w:p w:rsidR="0066311F" w:rsidRPr="0066311F" w:rsidRDefault="0066311F" w:rsidP="0066311F">
      <w:pPr>
        <w:shd w:val="clear" w:color="auto" w:fill="FFFFFF"/>
        <w:spacing w:after="0" w:line="240" w:lineRule="auto"/>
        <w:ind w:left="708" w:hanging="708"/>
        <w:jc w:val="both"/>
        <w:rPr>
          <w:rFonts w:ascii="Bookman Old Style" w:hAnsi="Bookman Old Style" w:cs="Arial"/>
          <w:bCs/>
          <w:strike/>
          <w:shd w:val="clear" w:color="auto" w:fill="FFFFFF"/>
        </w:rPr>
      </w:pPr>
    </w:p>
    <w:p w:rsidR="0066311F" w:rsidRPr="0066311F" w:rsidRDefault="0066311F" w:rsidP="0066311F">
      <w:pPr>
        <w:shd w:val="clear" w:color="auto" w:fill="FFFFFF"/>
        <w:spacing w:after="0" w:line="240" w:lineRule="auto"/>
        <w:ind w:left="708" w:hanging="708"/>
        <w:jc w:val="both"/>
        <w:rPr>
          <w:rFonts w:ascii="Bookman Old Style" w:hAnsi="Bookman Old Style" w:cs="Arial"/>
          <w:strike/>
          <w:shd w:val="clear" w:color="auto" w:fill="FFFFFF"/>
        </w:rPr>
      </w:pPr>
      <w:r w:rsidRPr="0066311F">
        <w:rPr>
          <w:rFonts w:ascii="Bookman Old Style" w:hAnsi="Bookman Old Style" w:cs="Arial"/>
          <w:strike/>
          <w:shd w:val="clear" w:color="auto" w:fill="FFFFFF"/>
        </w:rPr>
        <w:t>La pena de prisión y de multa será la correspondiente al tercio medio cuando la afectación tuviere como consecuencia un impacto ambiental superior a cincuenta (50) IA sin exceder de setenta y cinco (75) IA.</w:t>
      </w:r>
    </w:p>
    <w:p w:rsidR="0066311F" w:rsidRPr="0066311F" w:rsidRDefault="0066311F" w:rsidP="0066311F">
      <w:pPr>
        <w:shd w:val="clear" w:color="auto" w:fill="FFFFFF"/>
        <w:spacing w:after="0" w:line="240" w:lineRule="auto"/>
        <w:ind w:left="708" w:hanging="708"/>
        <w:jc w:val="both"/>
        <w:rPr>
          <w:rFonts w:ascii="Bookman Old Style" w:hAnsi="Bookman Old Style" w:cs="Arial"/>
          <w:strike/>
          <w:shd w:val="clear" w:color="auto" w:fill="FFFFFF"/>
        </w:rPr>
      </w:pPr>
    </w:p>
    <w:p w:rsidR="0066311F" w:rsidRPr="0066311F" w:rsidRDefault="0066311F" w:rsidP="0066311F">
      <w:pPr>
        <w:shd w:val="clear" w:color="auto" w:fill="FFFFFF"/>
        <w:spacing w:after="0" w:line="240" w:lineRule="auto"/>
        <w:ind w:left="708" w:hanging="708"/>
        <w:jc w:val="both"/>
        <w:rPr>
          <w:rFonts w:ascii="Bookman Old Style" w:hAnsi="Bookman Old Style" w:cs="Arial"/>
          <w:strike/>
          <w:shd w:val="clear" w:color="auto" w:fill="FFFFFF"/>
        </w:rPr>
      </w:pPr>
      <w:r w:rsidRPr="0066311F">
        <w:rPr>
          <w:rFonts w:ascii="Bookman Old Style" w:hAnsi="Bookman Old Style" w:cs="Arial"/>
          <w:strike/>
          <w:shd w:val="clear" w:color="auto" w:fill="FFFFFF"/>
        </w:rPr>
        <w:t>La pena de prisión y de multa será la correspondiente al tercio máximo cuando la afectación tuviere como consecuencia un impacto ambiental que pasare de setenta y cinco (75) IA.</w:t>
      </w:r>
    </w:p>
    <w:p w:rsidR="0066311F" w:rsidRPr="0066311F" w:rsidRDefault="0066311F" w:rsidP="0066311F">
      <w:pPr>
        <w:rPr>
          <w:strike/>
        </w:rPr>
      </w:pPr>
    </w:p>
    <w:p w:rsidR="0066311F" w:rsidRDefault="0066311F" w:rsidP="0066311F"/>
    <w:p w:rsidR="0066311F" w:rsidRDefault="0066311F" w:rsidP="0066311F"/>
    <w:p w:rsidR="0066311F" w:rsidRDefault="0066311F" w:rsidP="0066311F">
      <w:r w:rsidRPr="009950D9"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1" locked="0" layoutInCell="1" allowOverlap="1" wp14:anchorId="69E1F87B" wp14:editId="1D0670B6">
            <wp:simplePos x="0" y="0"/>
            <wp:positionH relativeFrom="margin">
              <wp:posOffset>-19050</wp:posOffset>
            </wp:positionH>
            <wp:positionV relativeFrom="paragraph">
              <wp:posOffset>44450</wp:posOffset>
            </wp:positionV>
            <wp:extent cx="2657475" cy="723900"/>
            <wp:effectExtent l="0" t="0" r="952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311F" w:rsidRDefault="0066311F" w:rsidP="0066311F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6311F" w:rsidRDefault="0066311F" w:rsidP="0066311F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6311F" w:rsidRPr="009950D9" w:rsidRDefault="0066311F" w:rsidP="0066311F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950D9">
        <w:rPr>
          <w:rFonts w:ascii="Arial" w:hAnsi="Arial" w:cs="Arial"/>
          <w:b/>
          <w:bCs/>
          <w:color w:val="000000"/>
          <w:sz w:val="24"/>
          <w:szCs w:val="24"/>
        </w:rPr>
        <w:t>ÁLVARO HERNÁN PRADA ARTUNDUAGA</w:t>
      </w:r>
    </w:p>
    <w:p w:rsidR="0066311F" w:rsidRPr="009950D9" w:rsidRDefault="0066311F" w:rsidP="0066311F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950D9">
        <w:rPr>
          <w:rFonts w:ascii="Arial" w:hAnsi="Arial" w:cs="Arial"/>
          <w:b/>
          <w:bCs/>
          <w:color w:val="000000"/>
          <w:sz w:val="24"/>
          <w:szCs w:val="24"/>
        </w:rPr>
        <w:t>Representante a la Cámara por el Huila</w:t>
      </w:r>
    </w:p>
    <w:p w:rsidR="0066311F" w:rsidRDefault="0066311F"/>
    <w:sectPr w:rsidR="006631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11F"/>
    <w:rsid w:val="003D66C4"/>
    <w:rsid w:val="0066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FCBE3-6529-453A-8E34-F5B9D03E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3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Yesica Fernanda</dc:creator>
  <cp:keywords/>
  <dc:description/>
  <cp:lastModifiedBy>Yesica Fernanda</cp:lastModifiedBy>
  <cp:revision>1</cp:revision>
  <dcterms:created xsi:type="dcterms:W3CDTF">2020-06-08T19:50:00Z</dcterms:created>
  <dcterms:modified xsi:type="dcterms:W3CDTF">2020-06-08T20:07:00Z</dcterms:modified>
</cp:coreProperties>
</file>